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三</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Merge w:val="restart"/>
            <w:vAlign w:val="center"/>
          </w:tcPr>
          <w:p w14:paraId="00271019">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2"/>
                <w:szCs w:val="22"/>
                <w:u w:val="none"/>
                <w:lang w:val="en-US" w:eastAsia="zh-CN" w:bidi="ar"/>
              </w:rPr>
              <w:t>心电监护仪</w:t>
            </w:r>
          </w:p>
        </w:tc>
        <w:tc>
          <w:tcPr>
            <w:tcW w:w="707"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12套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适用于成人及儿童生理参数监测，具备血氧饱和度、血压、心电等监测功能</w:t>
            </w:r>
          </w:p>
        </w:tc>
        <w:tc>
          <w:tcPr>
            <w:tcW w:w="1719" w:type="dxa"/>
            <w:vAlign w:val="center"/>
          </w:tcPr>
          <w:p w14:paraId="55D84F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Merge w:val="continue"/>
            <w:vAlign w:val="center"/>
          </w:tcPr>
          <w:p w14:paraId="68F2FBE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多功能监护仪</w:t>
            </w:r>
          </w:p>
        </w:tc>
        <w:tc>
          <w:tcPr>
            <w:tcW w:w="707"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适用于成人及儿童生理参数监测等，具备呼吸、心率、血压、双血氧、有创血压、中心静脉压、呼气末CO2等监测功能，含转运模块</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麻醉监护仪</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用于手术病人麻醉状态监测，需具备CO2、有创血压、转运模块、BIS、麻醉气体监测等多项麻醉监测多项指标等</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能量平台</w:t>
            </w:r>
          </w:p>
        </w:tc>
        <w:tc>
          <w:tcPr>
            <w:tcW w:w="707"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用于外科手术切割、凝血，具备单级切割、凝血，双极切割、凝血，血管闭合等功能</w:t>
            </w:r>
          </w:p>
        </w:tc>
        <w:tc>
          <w:tcPr>
            <w:tcW w:w="1719" w:type="dxa"/>
            <w:vAlign w:val="center"/>
          </w:tcPr>
          <w:p w14:paraId="3C3EE7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手术床</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用于手术病人卧床、摆体位，床板采用碳纤维等低密度材料，便于术中X光；可加装头架等专用配件；可多角度配合不同手术体位等</w:t>
            </w:r>
          </w:p>
        </w:tc>
        <w:tc>
          <w:tcPr>
            <w:tcW w:w="1719" w:type="dxa"/>
            <w:vAlign w:val="center"/>
          </w:tcPr>
          <w:p w14:paraId="62FB4322">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36</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尿流动力学检查仪</w:t>
            </w:r>
          </w:p>
        </w:tc>
        <w:tc>
          <w:tcPr>
            <w:tcW w:w="707"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1套</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用于排尿障碍患者尿液动力学检查等，具备检查膀胱敏感性、逼尿肌收缩力等复杂性尿失禁及OAB患者等</w:t>
            </w:r>
          </w:p>
        </w:tc>
        <w:tc>
          <w:tcPr>
            <w:tcW w:w="1719" w:type="dxa"/>
            <w:vAlign w:val="center"/>
          </w:tcPr>
          <w:p w14:paraId="715EB01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60</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9</w:t>
      </w:r>
      <w:bookmarkStart w:id="2" w:name="_GoBack"/>
      <w:bookmarkEnd w:id="2"/>
      <w:r>
        <w:rPr>
          <w:rFonts w:hint="eastAsia" w:ascii="宋体" w:hAnsi="宋体" w:eastAsia="宋体" w:cs="宋体"/>
          <w:kern w:val="0"/>
          <w:szCs w:val="21"/>
          <w:lang w:val="en-US" w:eastAsia="zh-CN"/>
        </w:rPr>
        <w:t>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GYSYSBZXTZ202603</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广州医科大学附属第四医院2026年度医疗设备听证（三）</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19649B"/>
    <w:rsid w:val="25AD30C7"/>
    <w:rsid w:val="275A6452"/>
    <w:rsid w:val="27B7606D"/>
    <w:rsid w:val="2A7073E3"/>
    <w:rsid w:val="2C4156F7"/>
    <w:rsid w:val="2C732934"/>
    <w:rsid w:val="2C8E6136"/>
    <w:rsid w:val="2DE50285"/>
    <w:rsid w:val="2EAA2956"/>
    <w:rsid w:val="2EC219E0"/>
    <w:rsid w:val="32123919"/>
    <w:rsid w:val="32D23875"/>
    <w:rsid w:val="371B3D1A"/>
    <w:rsid w:val="39225E0E"/>
    <w:rsid w:val="3D3954D4"/>
    <w:rsid w:val="3D69136E"/>
    <w:rsid w:val="3F254943"/>
    <w:rsid w:val="3F5748AB"/>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1EC71BB"/>
    <w:rsid w:val="63B3128D"/>
    <w:rsid w:val="63D27C36"/>
    <w:rsid w:val="65B5753E"/>
    <w:rsid w:val="6957356D"/>
    <w:rsid w:val="6A9952D7"/>
    <w:rsid w:val="6B080305"/>
    <w:rsid w:val="6D535909"/>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3456</Words>
  <Characters>3598</Characters>
  <Lines>12</Lines>
  <Paragraphs>3</Paragraphs>
  <TotalTime>7</TotalTime>
  <ScaleCrop>false</ScaleCrop>
  <LinksUpToDate>false</LinksUpToDate>
  <CharactersWithSpaces>4112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2026-03-09T00:33:11Z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