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C2CB5">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十一</w:t>
      </w:r>
      <w:r>
        <w:rPr>
          <w:rFonts w:hint="eastAsia" w:ascii="宋体" w:hAnsi="宋体" w:eastAsia="宋体" w:cs="宋体"/>
          <w:kern w:val="0"/>
          <w:sz w:val="32"/>
          <w:szCs w:val="32"/>
        </w:rPr>
        <w:t>）</w:t>
      </w:r>
    </w:p>
    <w:p w14:paraId="557DF55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5D63CC31">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14B9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40C00BB1">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248478CC">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16F4AD39">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5575AE8F">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1FF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821B77C">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3358" w:type="dxa"/>
            <w:vAlign w:val="center"/>
          </w:tcPr>
          <w:p w14:paraId="737A1DCB">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电脑中频电疗仪</w:t>
            </w:r>
          </w:p>
        </w:tc>
        <w:tc>
          <w:tcPr>
            <w:tcW w:w="648" w:type="dxa"/>
            <w:vAlign w:val="center"/>
          </w:tcPr>
          <w:p w14:paraId="243D8953">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490" w:type="dxa"/>
            <w:vAlign w:val="center"/>
          </w:tcPr>
          <w:p w14:paraId="27ABF155">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工作频率：中频载波频率1—8kHz，单一频率允差±10％</w:t>
            </w:r>
            <w:r>
              <w:rPr>
                <w:rFonts w:hint="eastAsia" w:ascii="宋体" w:hAnsi="宋体" w:eastAsia="宋体" w:cs="宋体"/>
                <w:kern w:val="0"/>
                <w:szCs w:val="21"/>
                <w:lang w:val="en-US" w:eastAsia="zh-CN"/>
              </w:rPr>
              <w:t>，≥四个独立中频输出通道，可单独调节≥四个通道，多种不同处方选择等</w:t>
            </w:r>
          </w:p>
        </w:tc>
      </w:tr>
      <w:tr w14:paraId="3C58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restart"/>
            <w:vAlign w:val="center"/>
          </w:tcPr>
          <w:p w14:paraId="29B7245C">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3358" w:type="dxa"/>
            <w:vAlign w:val="center"/>
          </w:tcPr>
          <w:p w14:paraId="441DEFAD">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多功能电疗综合治疗仪</w:t>
            </w:r>
          </w:p>
        </w:tc>
        <w:tc>
          <w:tcPr>
            <w:tcW w:w="648" w:type="dxa"/>
            <w:vAlign w:val="center"/>
          </w:tcPr>
          <w:p w14:paraId="06048885">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490" w:type="dxa"/>
            <w:vAlign w:val="center"/>
          </w:tcPr>
          <w:p w14:paraId="7D45FB01">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治疗模式：</w:t>
            </w:r>
            <w:r>
              <w:rPr>
                <w:rFonts w:hint="eastAsia" w:ascii="宋体" w:hAnsi="宋体" w:eastAsia="宋体" w:cs="宋体"/>
                <w:kern w:val="0"/>
                <w:szCs w:val="21"/>
                <w:lang w:val="en-US" w:eastAsia="zh-CN"/>
              </w:rPr>
              <w:t>含</w:t>
            </w:r>
            <w:r>
              <w:rPr>
                <w:rFonts w:hint="default" w:ascii="宋体" w:hAnsi="宋体" w:eastAsia="宋体" w:cs="宋体"/>
                <w:kern w:val="0"/>
                <w:szCs w:val="21"/>
                <w:lang w:val="en-US" w:eastAsia="zh-CN"/>
              </w:rPr>
              <w:t>连续（镇痛），交替，同步</w:t>
            </w:r>
            <w:r>
              <w:rPr>
                <w:rFonts w:hint="eastAsia" w:ascii="宋体" w:hAnsi="宋体" w:eastAsia="宋体" w:cs="宋体"/>
                <w:kern w:val="0"/>
                <w:szCs w:val="21"/>
                <w:lang w:val="en-US" w:eastAsia="zh-CN"/>
              </w:rPr>
              <w:t>。治疗时间：0～60min可调等</w:t>
            </w:r>
          </w:p>
        </w:tc>
      </w:tr>
      <w:tr w14:paraId="7CAE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46" w:type="dxa"/>
            <w:vMerge w:val="continue"/>
            <w:vAlign w:val="center"/>
          </w:tcPr>
          <w:p w14:paraId="77818696">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1972D600">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电子针灸仪</w:t>
            </w:r>
          </w:p>
        </w:tc>
        <w:tc>
          <w:tcPr>
            <w:tcW w:w="648" w:type="dxa"/>
            <w:vAlign w:val="center"/>
          </w:tcPr>
          <w:p w14:paraId="1D72E39E">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490" w:type="dxa"/>
            <w:vAlign w:val="center"/>
          </w:tcPr>
          <w:p w14:paraId="2C9AAE57">
            <w:pPr>
              <w:widowControl/>
              <w:spacing w:before="100" w:beforeAutospacing="1" w:after="100" w:afterAutospacing="1"/>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输</w:t>
            </w:r>
            <w:r>
              <w:rPr>
                <w:rFonts w:hint="default" w:ascii="宋体" w:hAnsi="宋体" w:eastAsia="宋体" w:cs="宋体"/>
                <w:kern w:val="0"/>
                <w:szCs w:val="21"/>
                <w:lang w:val="en-US" w:eastAsia="zh-CN"/>
              </w:rPr>
              <w:t>出适合于人体生理频率范围低频</w:t>
            </w:r>
            <w:r>
              <w:rPr>
                <w:rFonts w:hint="eastAsia" w:ascii="宋体" w:hAnsi="宋体" w:eastAsia="宋体" w:cs="宋体"/>
                <w:kern w:val="0"/>
                <w:szCs w:val="21"/>
                <w:lang w:val="en-US" w:eastAsia="zh-CN"/>
              </w:rPr>
              <w:t>脉冲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可</w:t>
            </w:r>
            <w:r>
              <w:rPr>
                <w:rFonts w:hint="default" w:ascii="宋体" w:hAnsi="宋体" w:eastAsia="宋体" w:cs="宋体"/>
                <w:kern w:val="0"/>
                <w:szCs w:val="21"/>
                <w:lang w:val="en-US" w:eastAsia="zh-CN"/>
              </w:rPr>
              <w:t>选择输出连续波、疏密波、断续波</w:t>
            </w:r>
            <w:r>
              <w:rPr>
                <w:rFonts w:hint="eastAsia" w:ascii="宋体" w:hAnsi="宋体" w:eastAsia="宋体" w:cs="宋体"/>
                <w:kern w:val="0"/>
                <w:szCs w:val="21"/>
                <w:lang w:val="en-US" w:eastAsia="zh-CN"/>
              </w:rPr>
              <w:t>等</w:t>
            </w:r>
            <w:r>
              <w:rPr>
                <w:rFonts w:hint="default" w:ascii="宋体" w:hAnsi="宋体" w:eastAsia="宋体" w:cs="宋体"/>
                <w:kern w:val="0"/>
                <w:szCs w:val="21"/>
                <w:lang w:val="en-US" w:eastAsia="zh-CN"/>
              </w:rPr>
              <w:t>波形</w:t>
            </w:r>
            <w:r>
              <w:rPr>
                <w:rFonts w:hint="eastAsia" w:ascii="宋体" w:hAnsi="宋体" w:eastAsia="宋体" w:cs="宋体"/>
                <w:kern w:val="0"/>
                <w:szCs w:val="21"/>
                <w:lang w:val="en-US" w:eastAsia="zh-CN"/>
              </w:rPr>
              <w:t>，≥5路输出，每路可独立调节输出强度大小，可以单独使用，也可以同时使用等</w:t>
            </w:r>
          </w:p>
        </w:tc>
      </w:tr>
      <w:tr w14:paraId="16E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24E36238">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60BEE7F2">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特定电磁波治疗器</w:t>
            </w:r>
          </w:p>
        </w:tc>
        <w:tc>
          <w:tcPr>
            <w:tcW w:w="648" w:type="dxa"/>
            <w:vAlign w:val="center"/>
          </w:tcPr>
          <w:p w14:paraId="16FE3606">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490" w:type="dxa"/>
            <w:vAlign w:val="center"/>
          </w:tcPr>
          <w:p w14:paraId="78582BBF">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波长范围：治疗器配置的辐射板所产生的能量应主要分布在2</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25μm波长范围内</w:t>
            </w:r>
            <w:r>
              <w:rPr>
                <w:rFonts w:hint="eastAsia" w:ascii="宋体" w:hAnsi="宋体" w:eastAsia="宋体" w:cs="宋体"/>
                <w:kern w:val="0"/>
                <w:szCs w:val="21"/>
                <w:lang w:val="en-US" w:eastAsia="zh-CN"/>
              </w:rPr>
              <w:t>，治疗器配备0～60min可调定时器等</w:t>
            </w:r>
          </w:p>
        </w:tc>
      </w:tr>
      <w:tr w14:paraId="304A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3CD1B5D0">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43B8741E">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治疗床</w:t>
            </w:r>
          </w:p>
        </w:tc>
        <w:tc>
          <w:tcPr>
            <w:tcW w:w="648" w:type="dxa"/>
            <w:vAlign w:val="center"/>
          </w:tcPr>
          <w:p w14:paraId="41AC561D">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490" w:type="dxa"/>
            <w:vAlign w:val="center"/>
          </w:tcPr>
          <w:p w14:paraId="088E7CD5">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长宽高：</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190*60*65</w:t>
            </w:r>
            <w:r>
              <w:rPr>
                <w:rFonts w:hint="eastAsia" w:ascii="宋体" w:hAnsi="宋体" w:eastAsia="宋体" w:cs="宋体"/>
                <w:kern w:val="0"/>
                <w:szCs w:val="21"/>
                <w:lang w:val="en-US" w:eastAsia="zh-CN"/>
              </w:rPr>
              <w:t>）±5</w:t>
            </w:r>
            <w:r>
              <w:rPr>
                <w:rFonts w:hint="default" w:ascii="宋体" w:hAnsi="宋体" w:eastAsia="宋体" w:cs="宋体"/>
                <w:kern w:val="0"/>
                <w:szCs w:val="21"/>
                <w:lang w:val="en-US" w:eastAsia="zh-CN"/>
              </w:rPr>
              <w:t>cmcm</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床底下有柜子，可储存物品</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床头留有</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12*16</w:t>
            </w:r>
            <w:r>
              <w:rPr>
                <w:rFonts w:hint="eastAsia" w:ascii="宋体" w:hAnsi="宋体" w:eastAsia="宋体" w:cs="宋体"/>
                <w:kern w:val="0"/>
                <w:szCs w:val="21"/>
                <w:lang w:val="en-US" w:eastAsia="zh-CN"/>
              </w:rPr>
              <w:t>）±2</w:t>
            </w:r>
            <w:r>
              <w:rPr>
                <w:rFonts w:hint="default" w:ascii="宋体" w:hAnsi="宋体" w:eastAsia="宋体" w:cs="宋体"/>
                <w:kern w:val="0"/>
                <w:szCs w:val="21"/>
                <w:lang w:val="en-US" w:eastAsia="zh-CN"/>
              </w:rPr>
              <w:t>cm的洞口，方便俯卧位口鼻呼吸</w:t>
            </w:r>
            <w:r>
              <w:rPr>
                <w:rFonts w:hint="eastAsia" w:ascii="宋体" w:hAnsi="宋体" w:eastAsia="宋体" w:cs="宋体"/>
                <w:kern w:val="0"/>
                <w:szCs w:val="21"/>
                <w:lang w:val="en-US" w:eastAsia="zh-CN"/>
              </w:rPr>
              <w:t>等</w:t>
            </w:r>
          </w:p>
        </w:tc>
      </w:tr>
      <w:tr w14:paraId="01C4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6" w:type="dxa"/>
            <w:vMerge w:val="continue"/>
            <w:vAlign w:val="center"/>
          </w:tcPr>
          <w:p w14:paraId="50CB1994">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2D9C2006">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超短波电疗机</w:t>
            </w:r>
          </w:p>
        </w:tc>
        <w:tc>
          <w:tcPr>
            <w:tcW w:w="648" w:type="dxa"/>
            <w:vAlign w:val="center"/>
          </w:tcPr>
          <w:p w14:paraId="2F2CA57B">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312A2DEB">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输出功率：50W 允许偏差±20%</w:t>
            </w:r>
            <w:r>
              <w:rPr>
                <w:rFonts w:hint="eastAsia" w:ascii="宋体" w:hAnsi="宋体" w:eastAsia="宋体" w:cs="宋体"/>
                <w:kern w:val="0"/>
                <w:szCs w:val="21"/>
                <w:lang w:val="en-US" w:eastAsia="zh-CN"/>
              </w:rPr>
              <w:t>，治疗时间：多档可调，允许偏差±10%，可连续工作时间≥4h等</w:t>
            </w:r>
          </w:p>
        </w:tc>
      </w:tr>
      <w:tr w14:paraId="73E2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restart"/>
            <w:vAlign w:val="center"/>
          </w:tcPr>
          <w:p w14:paraId="5942815A">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3358" w:type="dxa"/>
            <w:vAlign w:val="center"/>
          </w:tcPr>
          <w:p w14:paraId="5D63E43F">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多功能生物反馈诊疗系统</w:t>
            </w:r>
          </w:p>
        </w:tc>
        <w:tc>
          <w:tcPr>
            <w:tcW w:w="648" w:type="dxa"/>
            <w:vAlign w:val="center"/>
          </w:tcPr>
          <w:p w14:paraId="0969177C">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90" w:type="dxa"/>
            <w:vAlign w:val="center"/>
          </w:tcPr>
          <w:p w14:paraId="230840D2">
            <w:pPr>
              <w:widowControl/>
              <w:spacing w:before="100" w:beforeAutospacing="1" w:after="100" w:afterAutospacing="1"/>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输出电流：≥0mA～50mA可调，恒流且安全锁定，遵循YY9706.210-2021神经和肌肉刺激器安全专用要求，刺激频率约1Hz～250Hz，含肌电生物正、负反馈模式、感觉功能障碍及神经促通治疗等多种治疗模式等</w:t>
            </w:r>
          </w:p>
        </w:tc>
      </w:tr>
      <w:tr w14:paraId="3AA4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2F8F1D00">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08DB4567">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脑循环磁电治疗仪</w:t>
            </w:r>
          </w:p>
        </w:tc>
        <w:tc>
          <w:tcPr>
            <w:tcW w:w="648" w:type="dxa"/>
            <w:vAlign w:val="center"/>
          </w:tcPr>
          <w:p w14:paraId="5CC91566">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90" w:type="dxa"/>
            <w:vAlign w:val="center"/>
          </w:tcPr>
          <w:p w14:paraId="549E3494">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具备交变电磁场治疗帽、仿真生物电刺激小脑顶核（乳突穴）及仿真生物电刺激肢体肌肉神经系统</w:t>
            </w:r>
            <w:r>
              <w:rPr>
                <w:rFonts w:hint="eastAsia" w:ascii="宋体" w:hAnsi="宋体" w:eastAsia="宋体" w:cs="宋体"/>
                <w:kern w:val="0"/>
                <w:szCs w:val="21"/>
                <w:lang w:val="en-US" w:eastAsia="zh-CN"/>
              </w:rPr>
              <w:t>等功能，治疗强度： 0～≥30 mT可调等</w:t>
            </w:r>
          </w:p>
        </w:tc>
      </w:tr>
      <w:tr w14:paraId="54D9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restart"/>
            <w:vAlign w:val="center"/>
          </w:tcPr>
          <w:p w14:paraId="1CC91256">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358" w:type="dxa"/>
            <w:vAlign w:val="center"/>
          </w:tcPr>
          <w:p w14:paraId="587573B0">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磁振热治疗仪</w:t>
            </w:r>
          </w:p>
        </w:tc>
        <w:tc>
          <w:tcPr>
            <w:tcW w:w="648" w:type="dxa"/>
            <w:vAlign w:val="center"/>
          </w:tcPr>
          <w:p w14:paraId="4EAFF9C2">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4CA9E0FD">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采用磁场、振动、温热三种物理因子相结合进行同步治疗</w:t>
            </w:r>
            <w:r>
              <w:rPr>
                <w:rFonts w:hint="eastAsia" w:ascii="宋体" w:hAnsi="宋体" w:eastAsia="宋体" w:cs="宋体"/>
                <w:kern w:val="0"/>
                <w:szCs w:val="21"/>
                <w:lang w:val="en-US" w:eastAsia="zh-CN"/>
              </w:rPr>
              <w:t>，≥四通道输出，每通道参数可独立调节，可同时治疗≥四个患者或部位，磁场强度： 磁感应强度：0～≥50mT可调，振动频率可调等</w:t>
            </w:r>
          </w:p>
        </w:tc>
      </w:tr>
      <w:tr w14:paraId="4CE6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06B0DB78">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6606DB57">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痉挛肌低频治疗仪</w:t>
            </w:r>
          </w:p>
        </w:tc>
        <w:tc>
          <w:tcPr>
            <w:tcW w:w="648" w:type="dxa"/>
            <w:vAlign w:val="center"/>
          </w:tcPr>
          <w:p w14:paraId="700D5F3E">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90" w:type="dxa"/>
            <w:vAlign w:val="center"/>
          </w:tcPr>
          <w:p w14:paraId="660ABA6B">
            <w:pPr>
              <w:widowControl/>
              <w:spacing w:before="100" w:beforeAutospacing="1" w:after="100" w:afterAutospacing="1"/>
              <w:jc w:val="both"/>
              <w:rPr>
                <w:rFonts w:hint="default" w:ascii="宋体" w:hAnsi="宋体" w:cs="宋体" w:eastAsiaTheme="minorEastAsia"/>
                <w:kern w:val="0"/>
                <w:szCs w:val="21"/>
                <w:lang w:val="en-US" w:eastAsia="zh-CN"/>
              </w:rPr>
            </w:pPr>
            <w:r>
              <w:rPr>
                <w:rFonts w:hint="eastAsia" w:ascii="宋体" w:hAnsi="宋体" w:eastAsia="宋体" w:cs="宋体"/>
                <w:kern w:val="0"/>
                <w:szCs w:val="21"/>
                <w:lang w:val="en-US" w:eastAsia="zh-CN"/>
              </w:rPr>
              <w:t>≥四通道输出，可同时治疗≥四个部位，脉冲宽度约0.1～0.5ms可调，内置多种处方，可自定义处方，配备台车等</w:t>
            </w:r>
          </w:p>
        </w:tc>
      </w:tr>
      <w:tr w14:paraId="60D7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restart"/>
            <w:vAlign w:val="center"/>
          </w:tcPr>
          <w:p w14:paraId="558CBE88">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3358" w:type="dxa"/>
            <w:vAlign w:val="center"/>
          </w:tcPr>
          <w:p w14:paraId="10BAC46F">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便携式短波治疗仪</w:t>
            </w:r>
          </w:p>
        </w:tc>
        <w:tc>
          <w:tcPr>
            <w:tcW w:w="648" w:type="dxa"/>
            <w:vAlign w:val="center"/>
          </w:tcPr>
          <w:p w14:paraId="3CD1742D">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6A2258AB">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彩色触摸屏</w:t>
            </w:r>
            <w:r>
              <w:rPr>
                <w:rFonts w:hint="eastAsia" w:ascii="宋体" w:hAnsi="宋体" w:eastAsia="宋体" w:cs="宋体"/>
                <w:kern w:val="0"/>
                <w:szCs w:val="21"/>
                <w:lang w:val="en-US" w:eastAsia="zh-CN"/>
              </w:rPr>
              <w:t>，内置不同部位的临床治疗处方，具有连续，脉冲等模式，可在启动治疗中根据患者情况随时转换，无需停止治疗输出，保证输出精准，便携，可在任何场合轻松使用等</w:t>
            </w:r>
          </w:p>
        </w:tc>
      </w:tr>
      <w:tr w14:paraId="0B46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212E2968">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27FAA48D">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插筒</w:t>
            </w:r>
          </w:p>
        </w:tc>
        <w:tc>
          <w:tcPr>
            <w:tcW w:w="648" w:type="dxa"/>
            <w:vAlign w:val="center"/>
          </w:tcPr>
          <w:p w14:paraId="701BEDEF">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06079C37">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木插板（小）：180*140*70mm（±5%）</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木插板（中）：220*180*90mm（±5%）</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木插板（大）：360*290*110mm（±5%）</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用途：手指功能训练，手眼协调功能训练</w:t>
            </w:r>
            <w:r>
              <w:rPr>
                <w:rFonts w:hint="eastAsia" w:ascii="宋体" w:hAnsi="宋体" w:eastAsia="宋体" w:cs="宋体"/>
                <w:kern w:val="0"/>
                <w:szCs w:val="21"/>
                <w:lang w:val="en-US" w:eastAsia="zh-CN"/>
              </w:rPr>
              <w:t>等</w:t>
            </w:r>
          </w:p>
        </w:tc>
      </w:tr>
      <w:tr w14:paraId="106D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5BF18B22">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33FBA0A8">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滚筒</w:t>
            </w:r>
          </w:p>
        </w:tc>
        <w:tc>
          <w:tcPr>
            <w:tcW w:w="648" w:type="dxa"/>
            <w:vAlign w:val="center"/>
          </w:tcPr>
          <w:p w14:paraId="44DE483F">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15EA7011">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主要用于偏瘫、脑瘫等运动失调患者进行平衡、协调训练。规格：100*8</w:t>
            </w:r>
            <w:r>
              <w:rPr>
                <w:rFonts w:hint="eastAsia" w:ascii="宋体" w:hAnsi="宋体" w:eastAsia="宋体" w:cs="宋体"/>
                <w:kern w:val="0"/>
                <w:szCs w:val="21"/>
                <w:lang w:val="en-US" w:eastAsia="zh-CN"/>
              </w:rPr>
              <w:t>0</w:t>
            </w:r>
            <w:r>
              <w:rPr>
                <w:rFonts w:hint="default" w:ascii="宋体" w:hAnsi="宋体" w:eastAsia="宋体" w:cs="宋体"/>
                <w:kern w:val="0"/>
                <w:szCs w:val="21"/>
                <w:lang w:val="en-US" w:eastAsia="zh-CN"/>
              </w:rPr>
              <w:t>0mm（±</w:t>
            </w:r>
            <w:r>
              <w:rPr>
                <w:rFonts w:hint="eastAsia" w:ascii="宋体" w:hAnsi="宋体" w:eastAsia="宋体" w:cs="宋体"/>
                <w:kern w:val="0"/>
                <w:szCs w:val="21"/>
                <w:lang w:val="en-US" w:eastAsia="zh-CN"/>
              </w:rPr>
              <w:t>10</w:t>
            </w:r>
            <w:r>
              <w:rPr>
                <w:rFonts w:hint="default" w:ascii="宋体" w:hAnsi="宋体" w:eastAsia="宋体" w:cs="宋体"/>
                <w:kern w:val="0"/>
                <w:szCs w:val="21"/>
                <w:lang w:val="en-US" w:eastAsia="zh-CN"/>
              </w:rPr>
              <w:t>%）;150*8</w:t>
            </w:r>
            <w:r>
              <w:rPr>
                <w:rFonts w:hint="eastAsia" w:ascii="宋体" w:hAnsi="宋体" w:eastAsia="宋体" w:cs="宋体"/>
                <w:kern w:val="0"/>
                <w:szCs w:val="21"/>
                <w:lang w:val="en-US" w:eastAsia="zh-CN"/>
              </w:rPr>
              <w:t>0</w:t>
            </w:r>
            <w:r>
              <w:rPr>
                <w:rFonts w:hint="default" w:ascii="宋体" w:hAnsi="宋体" w:eastAsia="宋体" w:cs="宋体"/>
                <w:kern w:val="0"/>
                <w:szCs w:val="21"/>
                <w:lang w:val="en-US" w:eastAsia="zh-CN"/>
              </w:rPr>
              <w:t>0mm（±</w:t>
            </w:r>
            <w:r>
              <w:rPr>
                <w:rFonts w:hint="eastAsia" w:ascii="宋体" w:hAnsi="宋体" w:eastAsia="宋体" w:cs="宋体"/>
                <w:kern w:val="0"/>
                <w:szCs w:val="21"/>
                <w:lang w:val="en-US" w:eastAsia="zh-CN"/>
              </w:rPr>
              <w:t>10</w:t>
            </w:r>
            <w:r>
              <w:rPr>
                <w:rFonts w:hint="default" w:ascii="宋体" w:hAnsi="宋体" w:eastAsia="宋体" w:cs="宋体"/>
                <w:kern w:val="0"/>
                <w:szCs w:val="21"/>
                <w:lang w:val="en-US" w:eastAsia="zh-CN"/>
              </w:rPr>
              <w:t>%）;200*8</w:t>
            </w:r>
            <w:r>
              <w:rPr>
                <w:rFonts w:hint="eastAsia" w:ascii="宋体" w:hAnsi="宋体" w:eastAsia="宋体" w:cs="宋体"/>
                <w:kern w:val="0"/>
                <w:szCs w:val="21"/>
                <w:lang w:val="en-US" w:eastAsia="zh-CN"/>
              </w:rPr>
              <w:t>0</w:t>
            </w:r>
            <w:r>
              <w:rPr>
                <w:rFonts w:hint="default" w:ascii="宋体" w:hAnsi="宋体" w:eastAsia="宋体" w:cs="宋体"/>
                <w:kern w:val="0"/>
                <w:szCs w:val="21"/>
                <w:lang w:val="en-US" w:eastAsia="zh-CN"/>
              </w:rPr>
              <w:t>0mm（±</w:t>
            </w:r>
            <w:r>
              <w:rPr>
                <w:rFonts w:hint="eastAsia" w:ascii="宋体" w:hAnsi="宋体" w:eastAsia="宋体" w:cs="宋体"/>
                <w:kern w:val="0"/>
                <w:szCs w:val="21"/>
                <w:lang w:val="en-US" w:eastAsia="zh-CN"/>
              </w:rPr>
              <w:t>10</w:t>
            </w:r>
            <w:r>
              <w:rPr>
                <w:rFonts w:hint="default" w:ascii="宋体" w:hAnsi="宋体" w:eastAsia="宋体" w:cs="宋体"/>
                <w:kern w:val="0"/>
                <w:szCs w:val="21"/>
                <w:lang w:val="en-US" w:eastAsia="zh-CN"/>
              </w:rPr>
              <w:t>%）;250*8</w:t>
            </w:r>
            <w:r>
              <w:rPr>
                <w:rFonts w:hint="eastAsia" w:ascii="宋体" w:hAnsi="宋体" w:eastAsia="宋体" w:cs="宋体"/>
                <w:kern w:val="0"/>
                <w:szCs w:val="21"/>
                <w:lang w:val="en-US" w:eastAsia="zh-CN"/>
              </w:rPr>
              <w:t>0</w:t>
            </w:r>
            <w:r>
              <w:rPr>
                <w:rFonts w:hint="default" w:ascii="宋体" w:hAnsi="宋体" w:eastAsia="宋体" w:cs="宋体"/>
                <w:kern w:val="0"/>
                <w:szCs w:val="21"/>
                <w:lang w:val="en-US" w:eastAsia="zh-CN"/>
              </w:rPr>
              <w:t>0mm（±</w:t>
            </w:r>
            <w:r>
              <w:rPr>
                <w:rFonts w:hint="eastAsia" w:ascii="宋体" w:hAnsi="宋体" w:eastAsia="宋体" w:cs="宋体"/>
                <w:kern w:val="0"/>
                <w:szCs w:val="21"/>
                <w:lang w:val="en-US" w:eastAsia="zh-CN"/>
              </w:rPr>
              <w:t>10</w:t>
            </w:r>
            <w:r>
              <w:rPr>
                <w:rFonts w:hint="default" w:ascii="宋体" w:hAnsi="宋体" w:eastAsia="宋体" w:cs="宋体"/>
                <w:kern w:val="0"/>
                <w:szCs w:val="21"/>
                <w:lang w:val="en-US" w:eastAsia="zh-CN"/>
              </w:rPr>
              <w:t>%）;300*8</w:t>
            </w:r>
            <w:r>
              <w:rPr>
                <w:rFonts w:hint="eastAsia" w:ascii="宋体" w:hAnsi="宋体" w:eastAsia="宋体" w:cs="宋体"/>
                <w:kern w:val="0"/>
                <w:szCs w:val="21"/>
                <w:lang w:val="en-US" w:eastAsia="zh-CN"/>
              </w:rPr>
              <w:t>0</w:t>
            </w:r>
            <w:r>
              <w:rPr>
                <w:rFonts w:hint="default" w:ascii="宋体" w:hAnsi="宋体" w:eastAsia="宋体" w:cs="宋体"/>
                <w:kern w:val="0"/>
                <w:szCs w:val="21"/>
                <w:lang w:val="en-US" w:eastAsia="zh-CN"/>
              </w:rPr>
              <w:t>0mm（±</w:t>
            </w:r>
            <w:r>
              <w:rPr>
                <w:rFonts w:hint="eastAsia" w:ascii="宋体" w:hAnsi="宋体" w:eastAsia="宋体" w:cs="宋体"/>
                <w:kern w:val="0"/>
                <w:szCs w:val="21"/>
                <w:lang w:val="en-US" w:eastAsia="zh-CN"/>
              </w:rPr>
              <w:t>10</w:t>
            </w:r>
            <w:r>
              <w:rPr>
                <w:rFonts w:hint="default" w:ascii="宋体" w:hAnsi="宋体" w:eastAsia="宋体" w:cs="宋体"/>
                <w:kern w:val="0"/>
                <w:szCs w:val="21"/>
                <w:lang w:val="en-US" w:eastAsia="zh-CN"/>
              </w:rPr>
              <w:t>%） 一套不少于5</w:t>
            </w:r>
            <w:r>
              <w:rPr>
                <w:rFonts w:hint="eastAsia" w:ascii="宋体" w:hAnsi="宋体" w:eastAsia="宋体" w:cs="宋体"/>
                <w:kern w:val="0"/>
                <w:szCs w:val="21"/>
                <w:lang w:val="en-US" w:eastAsia="zh-CN"/>
              </w:rPr>
              <w:t>个，</w:t>
            </w:r>
            <w:r>
              <w:rPr>
                <w:rFonts w:hint="default" w:ascii="宋体" w:hAnsi="宋体" w:eastAsia="宋体" w:cs="宋体"/>
                <w:kern w:val="0"/>
                <w:szCs w:val="21"/>
                <w:lang w:val="en-US" w:eastAsia="zh-CN"/>
              </w:rPr>
              <w:t>材质：高密度回弹海绵、医用抗菌耐磨皮革</w:t>
            </w:r>
            <w:r>
              <w:rPr>
                <w:rFonts w:hint="eastAsia" w:ascii="宋体" w:hAnsi="宋体" w:eastAsia="宋体" w:cs="宋体"/>
                <w:kern w:val="0"/>
                <w:szCs w:val="21"/>
                <w:lang w:val="en-US" w:eastAsia="zh-CN"/>
              </w:rPr>
              <w:t>等</w:t>
            </w:r>
          </w:p>
        </w:tc>
      </w:tr>
      <w:tr w14:paraId="6B06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274FAC15">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07AD40E7">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数字康复磨砂桌</w:t>
            </w:r>
          </w:p>
        </w:tc>
        <w:tc>
          <w:tcPr>
            <w:tcW w:w="648" w:type="dxa"/>
            <w:vAlign w:val="center"/>
          </w:tcPr>
          <w:p w14:paraId="3A987556">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59454FBD">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≥50英寸数字康复磨砂桌，电动升降翻转移动支架</w:t>
            </w:r>
            <w:r>
              <w:rPr>
                <w:rFonts w:hint="eastAsia" w:ascii="宋体" w:hAnsi="宋体" w:eastAsia="宋体" w:cs="宋体"/>
                <w:kern w:val="0"/>
                <w:szCs w:val="21"/>
                <w:lang w:val="en-US" w:eastAsia="zh-CN"/>
              </w:rPr>
              <w:t>，面板倾斜度调节范围不窄于0～80°，系统可自由编辑训练方案，一键生成训练处方，一键调用处方，外设≥4种智能训练磨具、≥3种阻力训练辅具，提供国际通用评估量表，评估结束后自动生成评估报告等</w:t>
            </w:r>
          </w:p>
        </w:tc>
      </w:tr>
      <w:tr w14:paraId="4054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Merge w:val="continue"/>
            <w:vAlign w:val="center"/>
          </w:tcPr>
          <w:p w14:paraId="28BF9838">
            <w:pPr>
              <w:widowControl/>
              <w:spacing w:before="100" w:beforeAutospacing="1" w:after="100" w:afterAutospacing="1"/>
              <w:jc w:val="center"/>
              <w:rPr>
                <w:rFonts w:hint="default" w:ascii="宋体" w:hAnsi="宋体" w:eastAsia="宋体" w:cs="宋体"/>
                <w:kern w:val="0"/>
                <w:szCs w:val="21"/>
                <w:lang w:val="en-US" w:eastAsia="zh-CN"/>
              </w:rPr>
            </w:pPr>
          </w:p>
        </w:tc>
        <w:tc>
          <w:tcPr>
            <w:tcW w:w="3358" w:type="dxa"/>
            <w:vAlign w:val="center"/>
          </w:tcPr>
          <w:p w14:paraId="315DDF04">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站立架</w:t>
            </w:r>
          </w:p>
        </w:tc>
        <w:tc>
          <w:tcPr>
            <w:tcW w:w="648" w:type="dxa"/>
            <w:vAlign w:val="center"/>
          </w:tcPr>
          <w:p w14:paraId="62EA3A79">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595BA8EF">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规格：15</w:t>
            </w:r>
            <w:r>
              <w:rPr>
                <w:rFonts w:hint="eastAsia" w:ascii="宋体" w:hAnsi="宋体" w:eastAsia="宋体" w:cs="宋体"/>
                <w:kern w:val="0"/>
                <w:szCs w:val="21"/>
                <w:lang w:val="en-US" w:eastAsia="zh-CN"/>
              </w:rPr>
              <w:t>5</w:t>
            </w:r>
            <w:r>
              <w:rPr>
                <w:rFonts w:hint="default" w:ascii="宋体" w:hAnsi="宋体" w:eastAsia="宋体" w:cs="宋体"/>
                <w:kern w:val="0"/>
                <w:szCs w:val="21"/>
                <w:lang w:val="en-US" w:eastAsia="zh-CN"/>
              </w:rPr>
              <w:t>0*6</w:t>
            </w:r>
            <w:r>
              <w:rPr>
                <w:rFonts w:hint="eastAsia" w:ascii="宋体" w:hAnsi="宋体" w:eastAsia="宋体" w:cs="宋体"/>
                <w:kern w:val="0"/>
                <w:szCs w:val="21"/>
                <w:lang w:val="en-US" w:eastAsia="zh-CN"/>
              </w:rPr>
              <w:t>0</w:t>
            </w:r>
            <w:r>
              <w:rPr>
                <w:rFonts w:hint="default" w:ascii="宋体" w:hAnsi="宋体" w:eastAsia="宋体" w:cs="宋体"/>
                <w:kern w:val="0"/>
                <w:szCs w:val="21"/>
                <w:lang w:val="en-US" w:eastAsia="zh-CN"/>
              </w:rPr>
              <w:t>0*1</w:t>
            </w:r>
            <w:r>
              <w:rPr>
                <w:rFonts w:hint="eastAsia" w:ascii="宋体" w:hAnsi="宋体" w:eastAsia="宋体" w:cs="宋体"/>
                <w:kern w:val="0"/>
                <w:szCs w:val="21"/>
                <w:lang w:val="en-US" w:eastAsia="zh-CN"/>
              </w:rPr>
              <w:t>200</w:t>
            </w:r>
            <w:r>
              <w:rPr>
                <w:rFonts w:hint="default" w:ascii="宋体" w:hAnsi="宋体" w:eastAsia="宋体" w:cs="宋体"/>
                <w:kern w:val="0"/>
                <w:szCs w:val="21"/>
                <w:lang w:val="en-US" w:eastAsia="zh-CN"/>
              </w:rPr>
              <w:t>(mm) （±</w:t>
            </w:r>
            <w:r>
              <w:rPr>
                <w:rFonts w:hint="eastAsia" w:ascii="宋体" w:hAnsi="宋体" w:eastAsia="宋体" w:cs="宋体"/>
                <w:kern w:val="0"/>
                <w:szCs w:val="21"/>
                <w:lang w:val="en-US" w:eastAsia="zh-CN"/>
              </w:rPr>
              <w:t>10</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站板到桌面板尺寸为 10</w:t>
            </w:r>
            <w:r>
              <w:rPr>
                <w:rFonts w:hint="eastAsia" w:ascii="宋体" w:hAnsi="宋体" w:eastAsia="宋体" w:cs="宋体"/>
                <w:kern w:val="0"/>
                <w:szCs w:val="21"/>
                <w:lang w:val="en-US" w:eastAsia="zh-CN"/>
              </w:rPr>
              <w:t>5</w:t>
            </w:r>
            <w:r>
              <w:rPr>
                <w:rFonts w:hint="default" w:ascii="宋体" w:hAnsi="宋体" w:eastAsia="宋体" w:cs="宋体"/>
                <w:kern w:val="0"/>
                <w:szCs w:val="21"/>
                <w:lang w:val="en-US" w:eastAsia="zh-CN"/>
              </w:rPr>
              <w:t>0mm（±5%）</w:t>
            </w: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扶手距离中心距离 5</w:t>
            </w:r>
            <w:r>
              <w:rPr>
                <w:rFonts w:hint="eastAsia" w:ascii="宋体" w:hAnsi="宋体" w:eastAsia="宋体" w:cs="宋体"/>
                <w:kern w:val="0"/>
                <w:szCs w:val="21"/>
                <w:lang w:val="en-US" w:eastAsia="zh-CN"/>
              </w:rPr>
              <w:t>5</w:t>
            </w:r>
            <w:r>
              <w:rPr>
                <w:rFonts w:hint="default" w:ascii="宋体" w:hAnsi="宋体" w:eastAsia="宋体" w:cs="宋体"/>
                <w:kern w:val="0"/>
                <w:szCs w:val="21"/>
                <w:lang w:val="en-US" w:eastAsia="zh-CN"/>
              </w:rPr>
              <w:t>0mm（±5%）</w:t>
            </w:r>
            <w:r>
              <w:rPr>
                <w:rFonts w:hint="eastAsia" w:ascii="宋体" w:hAnsi="宋体" w:eastAsia="宋体" w:cs="宋体"/>
                <w:kern w:val="0"/>
                <w:szCs w:val="21"/>
                <w:lang w:val="en-US" w:eastAsia="zh-CN"/>
              </w:rPr>
              <w:t>等</w:t>
            </w:r>
          </w:p>
        </w:tc>
      </w:tr>
      <w:tr w14:paraId="288D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276AE7C9">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3358" w:type="dxa"/>
            <w:vAlign w:val="center"/>
          </w:tcPr>
          <w:p w14:paraId="3EAE9EE9">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干扰电治疗仪</w:t>
            </w:r>
          </w:p>
        </w:tc>
        <w:tc>
          <w:tcPr>
            <w:tcW w:w="648" w:type="dxa"/>
            <w:vAlign w:val="center"/>
          </w:tcPr>
          <w:p w14:paraId="41096F36">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90" w:type="dxa"/>
            <w:vAlign w:val="center"/>
          </w:tcPr>
          <w:p w14:paraId="3FD7FE93">
            <w:pPr>
              <w:widowControl/>
              <w:spacing w:before="100" w:beforeAutospacing="1" w:after="100" w:afterAutospacing="1"/>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w:t>
            </w:r>
            <w:r>
              <w:rPr>
                <w:rFonts w:hint="default" w:ascii="宋体" w:hAnsi="宋体" w:eastAsia="宋体" w:cs="宋体"/>
                <w:kern w:val="0"/>
                <w:szCs w:val="21"/>
                <w:lang w:val="en-US" w:eastAsia="zh-CN"/>
              </w:rPr>
              <w:t>四</w:t>
            </w:r>
            <w:r>
              <w:rPr>
                <w:rFonts w:hint="eastAsia" w:ascii="宋体" w:hAnsi="宋体" w:eastAsia="宋体" w:cs="宋体"/>
                <w:kern w:val="0"/>
                <w:szCs w:val="21"/>
                <w:lang w:val="en-US" w:eastAsia="zh-CN"/>
              </w:rPr>
              <w:t>个</w:t>
            </w:r>
            <w:r>
              <w:rPr>
                <w:rFonts w:hint="default" w:ascii="宋体" w:hAnsi="宋体" w:eastAsia="宋体" w:cs="宋体"/>
                <w:kern w:val="0"/>
                <w:szCs w:val="21"/>
                <w:lang w:val="en-US" w:eastAsia="zh-CN"/>
              </w:rPr>
              <w:t>独立的通道输出，每个通道治疗模式、强度均可自行调节互不干扰</w:t>
            </w:r>
            <w:r>
              <w:rPr>
                <w:rFonts w:hint="eastAsia" w:ascii="宋体" w:hAnsi="宋体" w:eastAsia="宋体" w:cs="宋体"/>
                <w:kern w:val="0"/>
                <w:szCs w:val="21"/>
                <w:lang w:val="en-US" w:eastAsia="zh-CN"/>
              </w:rPr>
              <w:t>，具有适合肌肉刺激的通电模式，通电时间，间歇时间分别可调，具有多重过流保护及提示、过压保护及提示的功能，治疗时间：1～99分钟等</w:t>
            </w:r>
          </w:p>
        </w:tc>
      </w:tr>
    </w:tbl>
    <w:p w14:paraId="54F03A49">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7FFEE17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2060334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566E93D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14DC61F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22BD9821">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096D8D1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2CCD74E0">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13</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20</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附件</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47726AAE">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197EF3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7153827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3D7808F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2A41105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02A8A29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1042E5D1">
      <w:pPr>
        <w:widowControl/>
        <w:spacing w:before="100" w:beforeAutospacing="1" w:after="100" w:afterAutospacing="1"/>
        <w:ind w:firstLine="288"/>
        <w:jc w:val="left"/>
        <w:rPr>
          <w:rFonts w:hint="eastAsia" w:ascii="宋体" w:hAnsi="宋体" w:eastAsia="宋体" w:cs="宋体"/>
          <w:kern w:val="0"/>
          <w:szCs w:val="21"/>
        </w:rPr>
      </w:pPr>
    </w:p>
    <w:p w14:paraId="6C4F51E7">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w:t>
      </w:r>
      <w:r>
        <w:rPr>
          <w:rFonts w:hint="eastAsia" w:ascii="宋体" w:hAnsi="宋体" w:eastAsia="宋体" w:cs="宋体"/>
          <w:b/>
          <w:bCs/>
          <w:kern w:val="0"/>
          <w:szCs w:val="21"/>
          <w:lang w:val="en-US" w:eastAsia="zh-CN"/>
        </w:rPr>
        <w:t>调研论证报名文件</w:t>
      </w:r>
    </w:p>
    <w:p w14:paraId="1114F584">
      <w:pPr>
        <w:jc w:val="right"/>
        <w:rPr>
          <w:rFonts w:ascii="宋体" w:hAnsi="宋体" w:eastAsia="宋体" w:cs="宋体"/>
          <w:kern w:val="0"/>
          <w:szCs w:val="21"/>
        </w:rPr>
      </w:pPr>
    </w:p>
    <w:p w14:paraId="1DCF967C">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58CC1039">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13</w:t>
      </w:r>
      <w:bookmarkStart w:id="1" w:name="_GoBack"/>
      <w:bookmarkEnd w:id="1"/>
      <w:r>
        <w:rPr>
          <w:rFonts w:hint="eastAsia" w:ascii="宋体" w:hAnsi="宋体" w:eastAsia="宋体" w:cs="宋体"/>
          <w:kern w:val="0"/>
          <w:szCs w:val="21"/>
        </w:rPr>
        <w:t>日</w:t>
      </w:r>
    </w:p>
    <w:p w14:paraId="18A45A72">
      <w:pPr>
        <w:jc w:val="right"/>
        <w:rPr>
          <w:rFonts w:hint="eastAsia" w:ascii="宋体" w:hAnsi="宋体" w:eastAsia="宋体" w:cs="宋体"/>
          <w:kern w:val="0"/>
          <w:szCs w:val="21"/>
        </w:rPr>
      </w:pPr>
    </w:p>
    <w:p w14:paraId="5EB15E03">
      <w:pPr>
        <w:jc w:val="right"/>
        <w:rPr>
          <w:rFonts w:hint="eastAsia" w:ascii="宋体" w:hAnsi="宋体" w:eastAsia="宋体" w:cs="宋体"/>
          <w:kern w:val="0"/>
          <w:szCs w:val="21"/>
        </w:rPr>
      </w:pPr>
    </w:p>
    <w:p w14:paraId="420DF7AE">
      <w:pPr>
        <w:jc w:val="right"/>
        <w:rPr>
          <w:rFonts w:hint="eastAsia" w:ascii="宋体" w:hAnsi="宋体" w:eastAsia="宋体" w:cs="宋体"/>
          <w:kern w:val="0"/>
          <w:szCs w:val="21"/>
        </w:rPr>
      </w:pPr>
    </w:p>
    <w:p w14:paraId="5E8FEC0A">
      <w:pPr>
        <w:jc w:val="right"/>
        <w:rPr>
          <w:rFonts w:hint="eastAsia" w:ascii="宋体" w:hAnsi="宋体" w:eastAsia="宋体" w:cs="宋体"/>
          <w:kern w:val="0"/>
          <w:szCs w:val="21"/>
        </w:rPr>
      </w:pPr>
    </w:p>
    <w:p w14:paraId="02EB2C6F">
      <w:pPr>
        <w:jc w:val="right"/>
        <w:rPr>
          <w:rFonts w:hint="eastAsia" w:ascii="宋体" w:hAnsi="宋体" w:eastAsia="宋体" w:cs="宋体"/>
          <w:kern w:val="0"/>
          <w:szCs w:val="21"/>
        </w:rPr>
      </w:pPr>
    </w:p>
    <w:p w14:paraId="4112E438">
      <w:pPr>
        <w:jc w:val="right"/>
        <w:rPr>
          <w:rFonts w:hint="eastAsia" w:ascii="宋体" w:hAnsi="宋体" w:eastAsia="宋体" w:cs="宋体"/>
          <w:kern w:val="0"/>
          <w:szCs w:val="21"/>
        </w:rPr>
      </w:pPr>
    </w:p>
    <w:p w14:paraId="4327F32F">
      <w:pPr>
        <w:jc w:val="right"/>
        <w:rPr>
          <w:rFonts w:hint="eastAsia" w:ascii="宋体" w:hAnsi="宋体" w:eastAsia="宋体" w:cs="宋体"/>
          <w:kern w:val="0"/>
          <w:szCs w:val="21"/>
        </w:rPr>
      </w:pPr>
    </w:p>
    <w:p w14:paraId="7FEA2AFE">
      <w:pPr>
        <w:jc w:val="right"/>
        <w:rPr>
          <w:rFonts w:hint="eastAsia" w:ascii="宋体" w:hAnsi="宋体" w:eastAsia="宋体" w:cs="宋体"/>
          <w:kern w:val="0"/>
          <w:szCs w:val="21"/>
        </w:rPr>
      </w:pPr>
    </w:p>
    <w:p w14:paraId="3C5369A8">
      <w:pPr>
        <w:jc w:val="both"/>
        <w:rPr>
          <w:rFonts w:hint="eastAsia" w:ascii="宋体" w:hAnsi="宋体" w:eastAsia="宋体" w:cs="宋体"/>
          <w:kern w:val="0"/>
          <w:szCs w:val="21"/>
        </w:rPr>
      </w:pPr>
    </w:p>
    <w:p w14:paraId="4BC97A1C">
      <w:pPr>
        <w:jc w:val="left"/>
        <w:rPr>
          <w:rFonts w:hint="eastAsia" w:ascii="宋体" w:hAnsi="宋体" w:eastAsia="宋体" w:cs="宋体"/>
          <w:kern w:val="0"/>
          <w:szCs w:val="21"/>
          <w:lang w:val="en-US" w:eastAsia="zh-CN"/>
        </w:rPr>
      </w:pPr>
    </w:p>
    <w:p w14:paraId="419B3045">
      <w:pPr>
        <w:jc w:val="left"/>
        <w:rPr>
          <w:rFonts w:hint="eastAsia" w:ascii="宋体" w:hAnsi="宋体" w:eastAsia="宋体" w:cs="宋体"/>
          <w:kern w:val="0"/>
          <w:szCs w:val="21"/>
          <w:lang w:val="en-US" w:eastAsia="zh-CN"/>
        </w:rPr>
      </w:pPr>
    </w:p>
    <w:p w14:paraId="1138DF7A">
      <w:pPr>
        <w:jc w:val="center"/>
        <w:rPr>
          <w:rFonts w:hint="eastAsia" w:ascii="黑体" w:hAnsi="黑体" w:eastAsia="黑体" w:cs="黑体"/>
          <w:sz w:val="84"/>
          <w:szCs w:val="84"/>
          <w:lang w:val="en-US" w:eastAsia="zh-CN"/>
        </w:rPr>
      </w:pPr>
    </w:p>
    <w:p w14:paraId="295BD91D">
      <w:pPr>
        <w:jc w:val="center"/>
        <w:rPr>
          <w:rFonts w:hint="eastAsia" w:ascii="黑体" w:hAnsi="黑体" w:eastAsia="黑体" w:cs="黑体"/>
          <w:sz w:val="84"/>
          <w:szCs w:val="84"/>
          <w:lang w:val="en-US" w:eastAsia="zh-CN"/>
        </w:rPr>
      </w:pPr>
    </w:p>
    <w:p w14:paraId="389D408A">
      <w:pPr>
        <w:jc w:val="center"/>
        <w:rPr>
          <w:rFonts w:hint="eastAsia" w:ascii="黑体" w:hAnsi="黑体" w:eastAsia="黑体" w:cs="黑体"/>
          <w:sz w:val="84"/>
          <w:szCs w:val="84"/>
          <w:lang w:val="en-US" w:eastAsia="zh-CN"/>
        </w:rPr>
      </w:pPr>
    </w:p>
    <w:p w14:paraId="7C972B7F">
      <w:pPr>
        <w:jc w:val="center"/>
        <w:rPr>
          <w:rFonts w:hint="eastAsia" w:ascii="黑体" w:hAnsi="黑体" w:eastAsia="黑体" w:cs="黑体"/>
          <w:sz w:val="84"/>
          <w:szCs w:val="84"/>
          <w:lang w:val="en-US" w:eastAsia="zh-CN"/>
        </w:rPr>
      </w:pPr>
    </w:p>
    <w:p w14:paraId="64B41AA6">
      <w:pPr>
        <w:jc w:val="center"/>
        <w:rPr>
          <w:rFonts w:hint="eastAsia" w:ascii="黑体" w:hAnsi="黑体" w:eastAsia="黑体" w:cs="黑体"/>
          <w:sz w:val="84"/>
          <w:szCs w:val="84"/>
          <w:lang w:val="en-US" w:eastAsia="zh-CN"/>
        </w:rPr>
      </w:pPr>
    </w:p>
    <w:p w14:paraId="6C7A9E25">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69884FC3">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44A63738">
      <w:pPr>
        <w:jc w:val="center"/>
        <w:rPr>
          <w:rFonts w:hint="eastAsia" w:ascii="黑体" w:hAnsi="黑体" w:eastAsia="黑体" w:cs="黑体"/>
          <w:sz w:val="52"/>
          <w:szCs w:val="52"/>
          <w:lang w:val="en-US" w:eastAsia="zh-CN"/>
        </w:rPr>
      </w:pPr>
    </w:p>
    <w:p w14:paraId="37C6E40A">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732F8579">
      <w:pPr>
        <w:rPr>
          <w:rFonts w:hint="eastAsia"/>
          <w:lang w:val="en-US" w:eastAsia="zh-CN"/>
        </w:rPr>
      </w:pPr>
    </w:p>
    <w:p w14:paraId="6B0D8824">
      <w:pPr>
        <w:rPr>
          <w:rFonts w:hint="eastAsia" w:ascii="黑体" w:hAnsi="黑体" w:eastAsia="黑体" w:cs="黑体"/>
          <w:sz w:val="32"/>
          <w:szCs w:val="32"/>
          <w:lang w:val="en-US" w:eastAsia="zh-CN"/>
        </w:rPr>
      </w:pPr>
    </w:p>
    <w:p w14:paraId="1F460DEF">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GYSYSBZXTZ2025011</w:t>
      </w:r>
    </w:p>
    <w:p w14:paraId="71EA71CF">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广州医科大学附属第四医院2025年度医疗设备听证（十一）</w:t>
      </w:r>
    </w:p>
    <w:p w14:paraId="138BAAC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2AB4CD2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69E63B4D">
      <w:pPr>
        <w:rPr>
          <w:rFonts w:hint="eastAsia" w:ascii="黑体" w:hAnsi="黑体" w:eastAsia="黑体" w:cs="黑体"/>
          <w:sz w:val="32"/>
          <w:szCs w:val="32"/>
          <w:lang w:val="en-US" w:eastAsia="zh-CN"/>
        </w:rPr>
      </w:pPr>
    </w:p>
    <w:p w14:paraId="628EC71F">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7BBEBB3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65E93F3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2DF577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35A2A44B">
      <w:pPr>
        <w:rPr>
          <w:rFonts w:hint="eastAsia" w:ascii="黑体" w:hAnsi="黑体" w:eastAsia="黑体" w:cs="黑体"/>
          <w:sz w:val="32"/>
          <w:szCs w:val="32"/>
          <w:lang w:val="en-US" w:eastAsia="zh-CN"/>
        </w:rPr>
      </w:pPr>
    </w:p>
    <w:p w14:paraId="4585573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2D9DE8F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2EC71F70">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273225"/>
    <w:rsid w:val="08907387"/>
    <w:rsid w:val="0BBD7257"/>
    <w:rsid w:val="0F4A52C7"/>
    <w:rsid w:val="11915D0D"/>
    <w:rsid w:val="15106DCE"/>
    <w:rsid w:val="166450E1"/>
    <w:rsid w:val="176638A6"/>
    <w:rsid w:val="18683255"/>
    <w:rsid w:val="19E95123"/>
    <w:rsid w:val="1AD11E96"/>
    <w:rsid w:val="1BD34839"/>
    <w:rsid w:val="1D147FB7"/>
    <w:rsid w:val="218A52BB"/>
    <w:rsid w:val="23F44106"/>
    <w:rsid w:val="24BF15CE"/>
    <w:rsid w:val="26494D6F"/>
    <w:rsid w:val="275A6452"/>
    <w:rsid w:val="2AF9490D"/>
    <w:rsid w:val="2C732934"/>
    <w:rsid w:val="2C8E6136"/>
    <w:rsid w:val="2EAA2956"/>
    <w:rsid w:val="300A76ED"/>
    <w:rsid w:val="30FF47BD"/>
    <w:rsid w:val="32123919"/>
    <w:rsid w:val="37105266"/>
    <w:rsid w:val="3D69136E"/>
    <w:rsid w:val="42A7342F"/>
    <w:rsid w:val="43211A2B"/>
    <w:rsid w:val="459B3BA5"/>
    <w:rsid w:val="45F9038C"/>
    <w:rsid w:val="48D563EE"/>
    <w:rsid w:val="4DB4715F"/>
    <w:rsid w:val="4F5E3050"/>
    <w:rsid w:val="51261F2B"/>
    <w:rsid w:val="53C4546E"/>
    <w:rsid w:val="53F80C41"/>
    <w:rsid w:val="58C06A9A"/>
    <w:rsid w:val="598050E5"/>
    <w:rsid w:val="59E80E2B"/>
    <w:rsid w:val="5A285D45"/>
    <w:rsid w:val="5C0C05B0"/>
    <w:rsid w:val="5F0A34BF"/>
    <w:rsid w:val="5FF646C5"/>
    <w:rsid w:val="600E33F2"/>
    <w:rsid w:val="60100D25"/>
    <w:rsid w:val="60BD2EBC"/>
    <w:rsid w:val="617445B9"/>
    <w:rsid w:val="63D27C36"/>
    <w:rsid w:val="65BE2A51"/>
    <w:rsid w:val="6A611BA5"/>
    <w:rsid w:val="6A9952D7"/>
    <w:rsid w:val="6B080305"/>
    <w:rsid w:val="6C296097"/>
    <w:rsid w:val="6FED6A31"/>
    <w:rsid w:val="70F16351"/>
    <w:rsid w:val="72595283"/>
    <w:rsid w:val="72CC0858"/>
    <w:rsid w:val="79890A6E"/>
    <w:rsid w:val="7AB67857"/>
    <w:rsid w:val="7B5F7623"/>
    <w:rsid w:val="7B791E00"/>
    <w:rsid w:val="7C0B03BB"/>
    <w:rsid w:val="7C700AE1"/>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4059</Words>
  <Characters>4389</Characters>
  <Lines>12</Lines>
  <Paragraphs>3</Paragraphs>
  <TotalTime>0</TotalTime>
  <ScaleCrop>false</ScaleCrop>
  <LinksUpToDate>false</LinksUpToDate>
  <CharactersWithSpaces>4916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2025-05-13T01:26:40Z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3882DE2CF49341868BA4D4E5E76FCD54_13</vt:lpwstr>
  </property>
  <property fmtid="{D5CDD505-2E9C-101B-9397-08002B2CF9AE}" pid="4" name="KSOTemplateDocerSaveRecord">
    <vt:lpwstr>eyJoZGlkIjoiMWIyNmRhNjk1NTMxODYyNGVkZTEwYmJhYTlkMTMyY2EiLCJ1c2VySWQiOiIyNjAwODY1NDMifQ==</vt:lpwstr>
  </property>
</Properties>
</file>